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02" w:rsidRPr="003D69B4" w:rsidRDefault="001C0202" w:rsidP="003D69B4">
      <w:pPr>
        <w:jc w:val="center"/>
        <w:rPr>
          <w:b/>
          <w:u w:val="single"/>
        </w:rPr>
      </w:pPr>
      <w:r w:rsidRPr="003D69B4">
        <w:rPr>
          <w:b/>
          <w:u w:val="single"/>
        </w:rPr>
        <w:t>Arrêté modificatif à l’arrêté du 8 juillet 2021 relatif à la formation semestrielle du BTSA</w:t>
      </w:r>
    </w:p>
    <w:p w:rsidR="003D69B4" w:rsidRDefault="003D69B4"/>
    <w:p w:rsidR="001C0202" w:rsidRDefault="001C0202">
      <w:r>
        <w:t>Visas :</w:t>
      </w:r>
    </w:p>
    <w:p w:rsidR="001C0202" w:rsidRDefault="001C0202">
      <w:r>
        <w:t>Vu le code de l’éducation, notamment son article D 123-13</w:t>
      </w:r>
    </w:p>
    <w:p w:rsidR="001C0202" w:rsidRDefault="001C0202">
      <w:r>
        <w:t>Vu le code rural et de la pêche maritime, notamment ses articles D811-137 à D811-143</w:t>
      </w:r>
    </w:p>
    <w:p w:rsidR="001C0202" w:rsidRDefault="001C0202">
      <w:r>
        <w:t>Vu le décret n°2020-687 du 4 juin 2020 relatif au règlement général du brevet de technicien supérieur agricole</w:t>
      </w:r>
    </w:p>
    <w:p w:rsidR="003D69B4" w:rsidRDefault="003D69B4">
      <w:r>
        <w:t>Vu l’arrêté ministériel du 8 juillet 2021 relatif à la formation semestrielle du brevet de technicien supérieur agricole prévue par l’article D811-139-5 du code rural et de la pêche maritime</w:t>
      </w:r>
    </w:p>
    <w:p w:rsidR="001C0202" w:rsidRDefault="001C0202">
      <w:r>
        <w:t xml:space="preserve">Vu le conseil national de l’enseignement agricole, en date du </w:t>
      </w:r>
    </w:p>
    <w:p w:rsidR="003D69B4" w:rsidRDefault="001C0202">
      <w:r>
        <w:t xml:space="preserve">Vu le conseil national de l’enseignement supérieur et de la recherche agricole, agroalimentaire et vétérinaire en date du </w:t>
      </w:r>
    </w:p>
    <w:p w:rsidR="001C0202" w:rsidRDefault="003D69B4">
      <w:r>
        <w:t xml:space="preserve">Arrête : </w:t>
      </w:r>
      <w:r w:rsidR="001C0202">
        <w:t xml:space="preserve">                                </w:t>
      </w:r>
    </w:p>
    <w:p w:rsidR="000D4705" w:rsidRDefault="001C0202" w:rsidP="001C0202">
      <w:r>
        <w:t>Article 1</w:t>
      </w:r>
      <w:r w:rsidR="003D69B4">
        <w:t xml:space="preserve">- </w:t>
      </w:r>
    </w:p>
    <w:p w:rsidR="00066DD9" w:rsidRDefault="00066DD9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066DD9">
        <w:rPr>
          <w:rFonts w:asciiTheme="minorHAnsi" w:eastAsiaTheme="minorHAnsi" w:hAnsiTheme="minorHAnsi" w:cstheme="minorBidi"/>
          <w:sz w:val="22"/>
          <w:szCs w:val="22"/>
          <w:lang w:eastAsia="en-US"/>
        </w:rPr>
        <w:t>’annexe 1 de l’arrêté ministériel du 8 juillet 2021 relatif à la formation semestrielle du brevet de technicien supérieur agricole prévue par l’article D811-139-5 du cod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rural et de la pêche maritime est remplacée par le paragraphe suivant : </w:t>
      </w:r>
    </w:p>
    <w:p w:rsidR="00066DD9" w:rsidRDefault="00066DD9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6DD9" w:rsidRDefault="00066DD9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 </w:t>
      </w:r>
      <w:r w:rsidRPr="00066DD9">
        <w:rPr>
          <w:rFonts w:asciiTheme="minorHAnsi" w:eastAsiaTheme="minorHAnsi" w:hAnsiTheme="minorHAnsi" w:cstheme="minorBidi"/>
          <w:sz w:val="22"/>
          <w:szCs w:val="22"/>
          <w:lang w:eastAsia="en-US"/>
        </w:rPr>
        <w:t>MODALITÉS DE DÉROGATION AU PRINCIPE DE L'ÉTANCHÉITÉ DES SEMESTRES PRÉVUES PAR L'ARTICLE 5</w:t>
      </w:r>
    </w:p>
    <w:p w:rsidR="00066DD9" w:rsidRDefault="00066DD9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40A8" w:rsidRPr="006240A8" w:rsidRDefault="00E760F7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dérogation au principe de l’étanchéité des semestres prévues par l’article 5 </w:t>
      </w:r>
      <w:proofErr w:type="gramStart"/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concerne </w:t>
      </w:r>
      <w:r w:rsidR="00066D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les</w:t>
      </w:r>
      <w:proofErr w:type="gramEnd"/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enseignements visant à l’acquisition des capacités intermédiaires suivantes :  « C2.1 S’engager dans un mode de vie actif et solidaire », « C2.2 S’insérer dans</w:t>
      </w:r>
      <w:r w:rsidR="006240A8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environnement professionnel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» , « C2.3 S’adapter à des enjeux ou des contextes particu</w:t>
      </w:r>
      <w:r w:rsidR="006240A8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liers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ainsi que l’enseignement de langue vivante. </w:t>
      </w:r>
    </w:p>
    <w:p w:rsidR="00103CDC" w:rsidRPr="006240A8" w:rsidRDefault="006240A8" w:rsidP="00103CDC">
      <w:pPr>
        <w:pStyle w:val="SNSignature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ce titre,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sont concernées la capacité "C3.2 Communiquer en langue étrangère" ainsi que les capacités professionnelles 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 optionnelles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faisant explicitement référence à la pratique des langues vivantes. Les enseignements m</w:t>
      </w:r>
      <w:bookmarkStart w:id="0" w:name="_GoBack"/>
      <w:bookmarkEnd w:id="0"/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entionnés ci-dessus peuvent être mis en œuvre sur plusieurs semestres. Ces enseignements peuvent être intégrés dans un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unité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d’enseignement si la situation d’évaluation proposée est cohérente, ou placés hors des unités d’enseignement au sein d’une unité de formation transversale. Dans ces deux cas,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>l’évaluation certificative d</w:t>
      </w:r>
      <w:r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la capacité visée relève d’un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seul semestre et d’une grille d’évaluation unique, mais les différentes activités peuvent être </w:t>
      </w:r>
      <w:r w:rsidR="00E760F7" w:rsidRPr="006240A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évaluées au cours des semestres sur lesquels elles sont menées, afin de renseigner les indicateurs correspondants de la grille d’évaluation. Les ECTS sont délivrés au moment de l’évaluation."</w:t>
      </w:r>
    </w:p>
    <w:p w:rsidR="00103CDC" w:rsidRDefault="00103CDC" w:rsidP="00103CDC"/>
    <w:p w:rsidR="00066DD9" w:rsidRDefault="00066DD9" w:rsidP="00103CDC">
      <w:r>
        <w:t xml:space="preserve">Article 2 </w:t>
      </w:r>
    </w:p>
    <w:p w:rsidR="00066DD9" w:rsidRDefault="00066DD9" w:rsidP="00103CDC">
      <w:r w:rsidRPr="00066DD9">
        <w:rPr>
          <w:highlight w:val="yellow"/>
        </w:rPr>
        <w:t>La DG</w:t>
      </w:r>
      <w:r>
        <w:t xml:space="preserve"> </w:t>
      </w:r>
    </w:p>
    <w:p w:rsidR="00103CDC" w:rsidRDefault="00103CDC" w:rsidP="00103CDC"/>
    <w:sectPr w:rsidR="0010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30"/>
    <w:multiLevelType w:val="hybridMultilevel"/>
    <w:tmpl w:val="BDB6695E"/>
    <w:lvl w:ilvl="0" w:tplc="3C04E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33C7"/>
    <w:multiLevelType w:val="hybridMultilevel"/>
    <w:tmpl w:val="8A86E1E6"/>
    <w:lvl w:ilvl="0" w:tplc="5DB2C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02"/>
    <w:rsid w:val="00066DD9"/>
    <w:rsid w:val="000D4705"/>
    <w:rsid w:val="00103CDC"/>
    <w:rsid w:val="001C0202"/>
    <w:rsid w:val="001F1439"/>
    <w:rsid w:val="00371BCF"/>
    <w:rsid w:val="003D69B4"/>
    <w:rsid w:val="0047034A"/>
    <w:rsid w:val="00603D02"/>
    <w:rsid w:val="006240A8"/>
    <w:rsid w:val="007642CF"/>
    <w:rsid w:val="009C4506"/>
    <w:rsid w:val="00A122B7"/>
    <w:rsid w:val="00D671BE"/>
    <w:rsid w:val="00E15BFA"/>
    <w:rsid w:val="00E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DA4"/>
  <w15:chartTrackingRefBased/>
  <w15:docId w15:val="{77D4A85C-1112-43FA-984C-61ED9A4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202"/>
    <w:pPr>
      <w:ind w:left="720"/>
      <w:contextualSpacing/>
    </w:pPr>
  </w:style>
  <w:style w:type="paragraph" w:styleId="Corpsdetexte">
    <w:name w:val="Body Text"/>
    <w:basedOn w:val="Normal"/>
    <w:link w:val="CorpsdetexteCar"/>
    <w:rsid w:val="00103CD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03C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NSignature">
    <w:name w:val="SNSignature"/>
    <w:basedOn w:val="Normal"/>
    <w:rsid w:val="00103CD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TOURNADRE</dc:creator>
  <cp:keywords/>
  <dc:description/>
  <cp:lastModifiedBy>Marguerite DE TOURNADRE</cp:lastModifiedBy>
  <cp:revision>3</cp:revision>
  <dcterms:created xsi:type="dcterms:W3CDTF">2022-02-15T10:01:00Z</dcterms:created>
  <dcterms:modified xsi:type="dcterms:W3CDTF">2022-02-17T13:08:00Z</dcterms:modified>
</cp:coreProperties>
</file>